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2377440" cy="2002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uroconexxao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002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DIAGNÓSTICO EMPRESARIAL</w:t>
      </w:r>
    </w:p>
    <w:p>
      <w:pPr>
        <w:pStyle w:val="Title"/>
        <w:spacing w:before="1600"/>
      </w:pPr>
      <w:r>
        <w:t>Transformar confiança pessoal em confiança na clínica e na equipe</w:t>
      </w:r>
    </w:p>
    <w:p>
      <w:pPr>
        <w:spacing w:before="240" w:after="1400"/>
      </w:pPr>
      <w:r>
        <w:rPr>
          <w:color w:val="68726D"/>
          <w:sz w:val="30"/>
        </w:rPr>
        <w:t>Mercado relevante, públicos, alternativas, plano por dependências, ferramentas e base de evidências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DFE8E1"/>
          </w:tcPr>
          <w:p>
            <w:pPr>
              <w:spacing w:after="40"/>
            </w:pPr>
            <w:r>
              <w:rPr>
                <w:b/>
                <w:color w:val="173F2C"/>
              </w:rPr>
              <w:t>Leitura recomendada</w:t>
            </w:r>
          </w:p>
          <w:p>
            <w:pPr>
              <w:spacing w:after="0"/>
            </w:pPr>
            <w:r>
              <w:rPr>
                <w:sz w:val="18"/>
              </w:rPr>
              <w:t>Comece pela decisão. Use as demais seções para compreender a evidência, ajustar a direção e executar no ritmo real da clínica.</w:t>
            </w:r>
          </w:p>
        </w:tc>
      </w:tr>
    </w:tbl>
    <w:p>
      <w:pPr>
        <w:spacing w:after="0"/>
      </w:pPr>
    </w:p>
    <w:p>
      <w:pPr>
        <w:spacing w:before="1800"/>
      </w:pPr>
      <w:r>
        <w:rPr>
          <w:color w:val="68726D"/>
          <w:sz w:val="18"/>
        </w:rPr>
        <w:t>Cuiabá e Várzea Grande  ·  Setembro de 2026</w:t>
      </w: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RESPOSTA EXECUTIVA</w:t>
      </w:r>
    </w:p>
    <w:p>
      <w:pPr>
        <w:pStyle w:val="Heading1"/>
      </w:pPr>
      <w:r>
        <w:t>Decisão recomendada</w:t>
      </w:r>
    </w:p>
    <w:p>
      <w:r>
        <w:t>A prioridade atual é tornar os demais profissionais uma escolha compreensível, adequada e confiável. A clínica deve definir um percurso que a equipe consiga iniciar e concluir, apresentá-lo com clareza no WhatsApp e nos canais públicos e medir se os novos contatos aceitam esse encaminhamento.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7EBE7"/>
          </w:tcPr>
          <w:p>
            <w:pPr>
              <w:spacing w:after="40"/>
            </w:pPr>
            <w:r>
              <w:rPr>
                <w:b/>
                <w:color w:val="173F2C"/>
              </w:rPr>
              <w:t>Primeiro movimento</w:t>
            </w:r>
          </w:p>
          <w:p>
            <w:pPr>
              <w:spacing w:after="0"/>
            </w:pPr>
            <w:r>
              <w:rPr>
                <w:sz w:val="18"/>
              </w:rPr>
              <w:t>Definir serviço, público, profissional, capacidade do ciclo completo, preço, pagamento, CNPJ e responsabilidade técnica de uma única porta de entrada.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088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Evidência</w:t>
            </w:r>
          </w:p>
        </w:tc>
        <w:tc>
          <w:tcPr>
            <w:tcW w:type="dxa" w:w="4032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 que sabemos</w:t>
            </w:r>
          </w:p>
        </w:tc>
        <w:tc>
          <w:tcPr>
            <w:tcW w:type="dxa" w:w="338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Limite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Confiança concentrada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 gestão relata procura nominal por Edinéia e Nicolly.</w:t>
            </w:r>
          </w:p>
        </w:tc>
        <w:tc>
          <w:tcPr>
            <w:tcW w:type="dxa" w:w="33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Não há contagem por contato ou motivo de recusa.</w:t>
            </w:r>
          </w:p>
        </w:tc>
      </w:tr>
      <w:tr>
        <w:tc>
          <w:tcPr>
            <w:tcW w:type="dxa" w:w="208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Capacidade disponível</w:t>
            </w:r>
          </w:p>
        </w:tc>
        <w:tc>
          <w:tcPr>
            <w:tcW w:type="dxa" w:w="40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Há outros profissionais com agenda relatada.</w:t>
            </w:r>
          </w:p>
        </w:tc>
        <w:tc>
          <w:tcPr>
            <w:tcW w:type="dxa" w:w="338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 ciclo completo não foi quantificado.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Jornada inconsistente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Equipe, contatos e percurso não aparecem de forma uniforme.</w:t>
            </w:r>
          </w:p>
        </w:tc>
        <w:tc>
          <w:tcPr>
            <w:tcW w:type="dxa" w:w="33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Cadastros públicos precisam ser reconferidos antes da correção.</w:t>
            </w:r>
          </w:p>
        </w:tc>
      </w:tr>
      <w:tr>
        <w:tc>
          <w:tcPr>
            <w:tcW w:type="dxa" w:w="208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Demanda plausível</w:t>
            </w:r>
          </w:p>
        </w:tc>
        <w:tc>
          <w:tcPr>
            <w:tcW w:type="dxa" w:w="40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 cenário-base chega a 381 primeiras avaliações por ano.</w:t>
            </w:r>
          </w:p>
        </w:tc>
        <w:tc>
          <w:tcPr>
            <w:tcW w:type="dxa" w:w="338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É sensibilidade, não previsão.</w:t>
            </w:r>
          </w:p>
        </w:tc>
      </w:tr>
    </w:tbl>
    <w:p>
      <w:pPr>
        <w:spacing w:after="0"/>
      </w:pPr>
    </w:p>
    <w:p>
      <w:pPr>
        <w:pStyle w:val="Heading2"/>
      </w:pPr>
      <w:r>
        <w:t>O que faria a decisão mudar</w:t>
      </w:r>
    </w:p>
    <w:p>
      <w:pPr>
        <w:pStyle w:val="ListBullet"/>
        <w:spacing w:after="60"/>
      </w:pPr>
      <w:r>
        <w:t>Aceitação baixa causada principalmente por preço, prazo, horário ou inadequação, e não por preferência nominal.</w:t>
      </w:r>
    </w:p>
    <w:p>
      <w:pPr>
        <w:pStyle w:val="ListBullet"/>
        <w:spacing w:after="60"/>
      </w:pPr>
      <w:r>
        <w:t>Capacidade do ciclo completo menor que a demanda já recebida.</w:t>
      </w:r>
    </w:p>
    <w:p>
      <w:pPr>
        <w:pStyle w:val="ListBullet"/>
        <w:spacing w:after="60"/>
      </w:pPr>
      <w:r>
        <w:t>Contribuição negativa por caso ou supervisão que consome o tempo que se pretendia liberar.</w:t>
      </w:r>
    </w:p>
    <w:p>
      <w:pPr>
        <w:pStyle w:val="ListBullet"/>
        <w:spacing w:after="60"/>
      </w:pPr>
      <w:r>
        <w:t>Nova oferta com demanda comprovada e economia superior à rota atual.</w:t>
      </w: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REALIDADE INTERNA</w:t>
      </w:r>
    </w:p>
    <w:p>
      <w:pPr>
        <w:pStyle w:val="Heading1"/>
      </w:pPr>
      <w:r>
        <w:t>A empresa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194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Dimensão</w:t>
            </w:r>
          </w:p>
        </w:tc>
        <w:tc>
          <w:tcPr>
            <w:tcW w:type="dxa" w:w="446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Informação disponível</w:t>
            </w:r>
          </w:p>
        </w:tc>
        <w:tc>
          <w:tcPr>
            <w:tcW w:type="dxa" w:w="3096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Implicação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Histórico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Mais de 6 mil avaliações desde 2015; cerca de 514 episódios/ano por divisão simples.</w:t>
            </w:r>
          </w:p>
        </w:tc>
        <w:tc>
          <w:tcPr>
            <w:tcW w:type="dxa" w:w="309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Autoridade institucional forte; não equivale a pessoas únicas ou mercado anual.</w:t>
            </w:r>
          </w:p>
        </w:tc>
      </w:tr>
      <w:tr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Operação física</w:t>
            </w:r>
          </w:p>
        </w:tc>
        <w:tc>
          <w:tcPr>
            <w:tcW w:type="dxa" w:w="446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Duas salas no mesmo andar e endereço.</w:t>
            </w:r>
          </w:p>
        </w:tc>
        <w:tc>
          <w:tcPr>
            <w:tcW w:type="dxa" w:w="309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Uma clínica expandida, não duas unidades geográficas.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Estrutura jurídica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Clínica Neuroconexxão Ltda 42.463.798/0001-58 e Neurovida Ltda 63.734.391/0001-98.</w:t>
            </w:r>
          </w:p>
        </w:tc>
        <w:tc>
          <w:tcPr>
            <w:tcW w:type="dxa" w:w="309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Definir faturamento e responsabilidade por serviço.</w:t>
            </w:r>
          </w:p>
        </w:tc>
      </w:tr>
      <w:tr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Oferta relatada</w:t>
            </w:r>
          </w:p>
        </w:tc>
        <w:tc>
          <w:tcPr>
            <w:tcW w:type="dxa" w:w="446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Avaliação, psiquiatria, psicoterapia, orientação parental, reabilitação, discussão de caso, formação e supervisão.</w:t>
            </w:r>
          </w:p>
        </w:tc>
        <w:tc>
          <w:tcPr>
            <w:tcW w:type="dxa" w:w="309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Organizar serviço, público e percurso por profissional.</w:t>
            </w:r>
          </w:p>
        </w:tc>
      </w:tr>
      <w:tr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Oferta pendente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Neurofeedback ainda não confirmado.</w:t>
            </w:r>
          </w:p>
        </w:tc>
        <w:tc>
          <w:tcPr>
            <w:tcW w:type="dxa" w:w="309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Não liderar comunicação antes da validação técnica e operacional.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7EBE7"/>
          </w:tcPr>
          <w:p>
            <w:pPr>
              <w:spacing w:after="40"/>
            </w:pPr>
            <w:r>
              <w:rPr>
                <w:b/>
                <w:color w:val="173F2C"/>
              </w:rPr>
              <w:t>Atividades que não integram a oferta atual</w:t>
            </w:r>
          </w:p>
          <w:p>
            <w:pPr>
              <w:spacing w:after="0"/>
            </w:pPr>
            <w:r>
              <w:rPr>
                <w:sz w:val="18"/>
              </w:rPr>
              <w:t>Fonoaudiologia e loja de brinquedos foram tratadas como encerradas e não devem aparecer nos canais públicos.</w:t>
            </w:r>
          </w:p>
        </w:tc>
      </w:tr>
    </w:tbl>
    <w:p>
      <w:pPr>
        <w:spacing w:after="0"/>
      </w:pPr>
    </w:p>
    <w:p>
      <w:pPr>
        <w:pStyle w:val="Heading2"/>
      </w:pPr>
      <w:r>
        <w:t>Definições antes de publicar</w:t>
      </w:r>
    </w:p>
    <w:p>
      <w:pPr>
        <w:pStyle w:val="ListBullet"/>
        <w:spacing w:after="60"/>
      </w:pPr>
      <w:r>
        <w:t>Responsável técnico e registro profissional por serviço.</w:t>
      </w:r>
    </w:p>
    <w:p>
      <w:pPr>
        <w:pStyle w:val="ListBullet"/>
        <w:spacing w:after="60"/>
      </w:pPr>
      <w:r>
        <w:t>CNPJ emissor e condições de pagamento.</w:t>
      </w:r>
    </w:p>
    <w:p>
      <w:pPr>
        <w:pStyle w:val="ListBullet"/>
        <w:spacing w:after="60"/>
      </w:pPr>
      <w:r>
        <w:t>Instrumentos e formas de aplicação conferidos no SATEPSI.</w:t>
      </w:r>
    </w:p>
    <w:p>
      <w:pPr>
        <w:pStyle w:val="ListBullet"/>
        <w:spacing w:after="60"/>
      </w:pPr>
      <w:r>
        <w:t>Grafia pública Clínica NeuroConexxão.</w:t>
      </w:r>
    </w:p>
    <w:p>
      <w:pPr>
        <w:pStyle w:val="ListBullet"/>
        <w:spacing w:after="60"/>
      </w:pPr>
      <w:r>
        <w:t>Definição exata do que o marco de 6 mil avaliações contabiliza.</w:t>
      </w: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DIMENSIONAMENTO</w:t>
      </w:r>
    </w:p>
    <w:p>
      <w:pPr>
        <w:pStyle w:val="Heading1"/>
      </w:pPr>
      <w:r>
        <w:t>Mercado relevante</w:t>
      </w:r>
    </w:p>
    <w:p>
      <w:r>
        <w:t>O mercado não é a população total. A conta separa território, idade, compatibilidade, questão não resolvida, indicação para avaliação completa, procura dentro de um ano e acesso financeiro/geográfico.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3456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Camada</w:t>
            </w:r>
          </w:p>
        </w:tc>
        <w:tc>
          <w:tcPr>
            <w:tcW w:type="dxa" w:w="194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Conservador</w:t>
            </w:r>
          </w:p>
        </w:tc>
        <w:tc>
          <w:tcPr>
            <w:tcW w:type="dxa" w:w="194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Base</w:t>
            </w:r>
          </w:p>
        </w:tc>
        <w:tc>
          <w:tcPr>
            <w:tcW w:type="dxa" w:w="194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Expansivo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Pessoas potencialmente compatíveis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21.942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33.896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51.665</w:t>
            </w:r>
          </w:p>
        </w:tc>
      </w:tr>
      <w:tr>
        <w:tc>
          <w:tcPr>
            <w:tcW w:type="dxa" w:w="345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Questão ainda não resolvida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35%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50%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65%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Indicação para avaliação completa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20%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30%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40%</w:t>
            </w:r>
          </w:p>
        </w:tc>
      </w:tr>
      <w:tr>
        <w:tc>
          <w:tcPr>
            <w:tcW w:type="dxa" w:w="345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Procura dentro de um ano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15%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25%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35%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Acesso financeiro e geográfico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20%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30%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45%</w:t>
            </w:r>
          </w:p>
        </w:tc>
      </w:tr>
      <w:tr>
        <w:tc>
          <w:tcPr>
            <w:tcW w:type="dxa" w:w="345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Primeiras avaliações por ano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46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381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2.116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Reavaliações por ano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24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109</w:t>
            </w:r>
          </w:p>
        </w:tc>
      </w:tr>
      <w:tr>
        <w:tc>
          <w:tcPr>
            <w:tcW w:type="dxa" w:w="345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Valor bruto indicativo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R$ 73,6 mil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R$ 1,143 milhão</w:t>
            </w:r>
          </w:p>
        </w:tc>
        <w:tc>
          <w:tcPr>
            <w:tcW w:type="dxa" w:w="194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R$ 7,618 milhões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7EBE7"/>
          </w:tcPr>
          <w:p>
            <w:pPr>
              <w:spacing w:after="40"/>
            </w:pPr>
            <w:r>
              <w:rPr>
                <w:b/>
                <w:color w:val="173F2C"/>
              </w:rPr>
              <w:t>Como interpretar</w:t>
            </w:r>
          </w:p>
          <w:p>
            <w:pPr>
              <w:spacing w:after="0"/>
            </w:pPr>
            <w:r>
              <w:rPr>
                <w:sz w:val="18"/>
              </w:rPr>
              <w:t>Os três cenários são testes de sensibilidade. Não são contagens oficiais, previsão de vendas ou intervalos estatísticos de confiança. O valor bruto combina demanda modelada e preço público; não é receita prevista.</w:t>
            </w:r>
          </w:p>
        </w:tc>
      </w:tr>
    </w:tbl>
    <w:p>
      <w:pPr>
        <w:spacing w:after="0"/>
      </w:pPr>
    </w:p>
    <w:p>
      <w:pPr>
        <w:pStyle w:val="Heading2"/>
      </w:pPr>
      <w:r>
        <w:t>Âncoras locais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448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Indicador</w:t>
            </w:r>
          </w:p>
        </w:tc>
        <w:tc>
          <w:tcPr>
            <w:tcW w:type="dxa" w:w="2016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Valor</w:t>
            </w:r>
          </w:p>
        </w:tc>
        <w:tc>
          <w:tcPr>
            <w:tcW w:type="dxa" w:w="482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 que representa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População 2026</w:t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1.022.089</w:t>
            </w:r>
          </w:p>
        </w:tc>
        <w:tc>
          <w:tcPr>
            <w:tcW w:type="dxa" w:w="48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698.917 em Cuiabá e 323.172 em Várzea Grande; base geográfica.</w:t>
            </w:r>
          </w:p>
        </w:tc>
      </w:tr>
      <w:tr>
        <w:tc>
          <w:tcPr>
            <w:tcW w:type="dxa" w:w="244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População de 6–59 anos</w:t>
            </w:r>
          </w:p>
        </w:tc>
        <w:tc>
          <w:tcPr>
            <w:tcW w:type="dxa" w:w="201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807.571</w:t>
            </w:r>
          </w:p>
        </w:tc>
        <w:tc>
          <w:tcPr>
            <w:tcW w:type="dxa" w:w="48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Proxy etária projetada: 176.020 de 6–17 e 631.551 de 18–59.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Vínculos de planos</w:t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291.834</w:t>
            </w:r>
          </w:p>
        </w:tc>
        <w:tc>
          <w:tcPr>
            <w:tcW w:type="dxa" w:w="48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28,55% da população; vínculo pode repetir pessoa e não garante reembolso.</w:t>
            </w:r>
          </w:p>
        </w:tc>
      </w:tr>
      <w:tr>
        <w:tc>
          <w:tcPr>
            <w:tcW w:type="dxa" w:w="244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Educação especial</w:t>
            </w:r>
          </w:p>
        </w:tc>
        <w:tc>
          <w:tcPr>
            <w:tcW w:type="dxa" w:w="201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7.372 matrículas</w:t>
            </w:r>
          </w:p>
        </w:tc>
        <w:tc>
          <w:tcPr>
            <w:tcW w:type="dxa" w:w="48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Escala do ecossistema educacional em 2025; não demanda privada.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SUS</w:t>
            </w:r>
          </w:p>
        </w:tc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1.050 + 3.048</w:t>
            </w:r>
          </w:p>
        </w:tc>
        <w:tc>
          <w:tcPr>
            <w:tcW w:type="dxa" w:w="48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Testes para psicodiagnóstico e acompanhamentos de reabilitação; procedimentos não são pessoas.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EPIDEMIOLOGIA E INDICAÇÃO</w:t>
      </w:r>
    </w:p>
    <w:p>
      <w:pPr>
        <w:pStyle w:val="Heading1"/>
      </w:pPr>
      <w:r>
        <w:t>Necessidades compatíveis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302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Necessidade</w:t>
            </w:r>
          </w:p>
        </w:tc>
        <w:tc>
          <w:tcPr>
            <w:tcW w:type="dxa" w:w="122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Baixo</w:t>
            </w:r>
          </w:p>
        </w:tc>
        <w:tc>
          <w:tcPr>
            <w:tcW w:type="dxa" w:w="122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Central</w:t>
            </w:r>
          </w:p>
        </w:tc>
        <w:tc>
          <w:tcPr>
            <w:tcW w:type="dxa" w:w="122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Alto</w:t>
            </w:r>
          </w:p>
        </w:tc>
        <w:tc>
          <w:tcPr>
            <w:tcW w:type="dxa" w:w="288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Referência aplicada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TEA já diagnosticado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14.415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14.415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14.415</w:t>
            </w:r>
          </w:p>
        </w:tc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1,1% no Centro-Oeste; não somado ao pool</w:t>
            </w:r>
          </w:p>
        </w:tc>
      </w:tr>
      <w:tr>
        <w:tc>
          <w:tcPr>
            <w:tcW w:type="dxa" w:w="30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TDAH 6–17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9.311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9.311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9.311</w:t>
            </w:r>
          </w:p>
        </w:tc>
        <w:tc>
          <w:tcPr>
            <w:tcW w:type="dxa" w:w="288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5,29%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TDAH persistente 18–59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12.631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16.294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25.262</w:t>
            </w:r>
          </w:p>
        </w:tc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2% · 2,58% · 4%</w:t>
            </w:r>
          </w:p>
        </w:tc>
      </w:tr>
      <w:tr>
        <w:tc>
          <w:tcPr>
            <w:tcW w:type="dxa" w:w="30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Transtornos de aprendizagem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8.801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17.602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26.403</w:t>
            </w:r>
          </w:p>
        </w:tc>
        <w:tc>
          <w:tcPr>
            <w:tcW w:type="dxa" w:w="288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5% · 10% · 15%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Deficiência intelectual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10.221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10.599</w:t>
            </w:r>
          </w:p>
        </w:tc>
        <w:tc>
          <w:tcPr>
            <w:tcW w:type="dxa" w:w="122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14.309</w:t>
            </w:r>
          </w:p>
        </w:tc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aprox. 1% · 1,04% · 1,4%</w:t>
            </w:r>
          </w:p>
        </w:tc>
      </w:tr>
      <w:tr>
        <w:tc>
          <w:tcPr>
            <w:tcW w:type="dxa" w:w="30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Altas habilidades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1.760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3.520</w:t>
            </w:r>
          </w:p>
        </w:tc>
        <w:tc>
          <w:tcPr>
            <w:tcW w:type="dxa" w:w="122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5.281</w:t>
            </w:r>
          </w:p>
        </w:tc>
        <w:tc>
          <w:tcPr>
            <w:tcW w:type="dxa" w:w="288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1% · 2% · 3%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7EBE7"/>
          </w:tcPr>
          <w:p>
            <w:pPr>
              <w:spacing w:after="40"/>
            </w:pPr>
            <w:r>
              <w:rPr>
                <w:b/>
                <w:color w:val="173F2C"/>
              </w:rPr>
              <w:t>Sobreposição</w:t>
            </w:r>
          </w:p>
          <w:p>
            <w:pPr>
              <w:spacing w:after="0"/>
            </w:pPr>
            <w:r>
              <w:rPr>
                <w:sz w:val="18"/>
              </w:rPr>
              <w:t>Uma pessoa pode aparecer em mais de uma condição. O modelo usa pools agregados por idade para não somar diagnósticos. A literatura usada indica TDAH em cerca de 28% das pessoas autistas, reforçando esse cuidado.</w:t>
            </w:r>
          </w:p>
        </w:tc>
      </w:tr>
    </w:tbl>
    <w:p>
      <w:pPr>
        <w:spacing w:after="0"/>
      </w:pPr>
    </w:p>
    <w:p>
      <w:pPr>
        <w:pStyle w:val="Heading2"/>
      </w:pPr>
      <w:r>
        <w:t>Três grupos de primeira avaliação</w:t>
      </w:r>
    </w:p>
    <w:p>
      <w:pPr>
        <w:pStyle w:val="ListNumber"/>
        <w:spacing w:after="60"/>
      </w:pPr>
      <w:r>
        <w:t>Possível neurodivergência ainda não identificada.</w:t>
      </w:r>
    </w:p>
    <w:p>
      <w:pPr>
        <w:pStyle w:val="ListNumber"/>
        <w:spacing w:after="60"/>
      </w:pPr>
      <w:r>
        <w:t>Suspeita ou diagnóstico sem avaliação neuropsicológica prévia.</w:t>
      </w:r>
    </w:p>
    <w:p>
      <w:pPr>
        <w:pStyle w:val="ListNumber"/>
        <w:spacing w:after="60"/>
      </w:pPr>
      <w:r>
        <w:t>Questão funcional que exige caracterização cognitiva para orientar conduta.</w:t>
      </w:r>
    </w:p>
    <w:p>
      <w:pPr>
        <w:pStyle w:val="Heading2"/>
      </w:pPr>
      <w:r>
        <w:t>Motivos legítimos de reavaliação</w:t>
      </w:r>
    </w:p>
    <w:p>
      <w:pPr>
        <w:pStyle w:val="ListBullet"/>
        <w:spacing w:after="60"/>
      </w:pPr>
      <w:r>
        <w:t>Nova questão clínica.</w:t>
      </w:r>
    </w:p>
    <w:p>
      <w:pPr>
        <w:pStyle w:val="ListBullet"/>
        <w:spacing w:after="60"/>
      </w:pPr>
      <w:r>
        <w:t>Mudança funcional relevante.</w:t>
      </w:r>
    </w:p>
    <w:p>
      <w:pPr>
        <w:pStyle w:val="ListBullet"/>
        <w:spacing w:after="60"/>
      </w:pPr>
      <w:r>
        <w:t>Progressão ou tratamento quando uma nova avaliação pode mudar a conduta.</w:t>
      </w:r>
    </w:p>
    <w:p>
      <w:pPr>
        <w:pStyle w:val="ListBullet"/>
        <w:spacing w:after="60"/>
      </w:pPr>
      <w:r>
        <w:t>Transição escolar, universitária ou profissional.</w:t>
      </w:r>
    </w:p>
    <w:p>
      <w:pPr>
        <w:pStyle w:val="ListBullet"/>
        <w:spacing w:after="60"/>
      </w:pPr>
      <w:r>
        <w:t>Avaliação anterior inadequada ou inconclusiva.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DFE8E1"/>
          </w:tcPr>
          <w:p>
            <w:pPr>
              <w:spacing w:after="40"/>
            </w:pPr>
            <w:r>
              <w:rPr>
                <w:b/>
                <w:color w:val="173F2C"/>
              </w:rPr>
              <w:t>Sem validade universal</w:t>
            </w:r>
          </w:p>
          <w:p>
            <w:pPr>
              <w:spacing w:after="0"/>
            </w:pPr>
            <w:r>
              <w:rPr>
                <w:sz w:val="18"/>
              </w:rPr>
              <w:t>A Resolução CFP 06/2019 não estabelece um prazo universal de validade do documento. Finalidade, funcionamento atual e nova demanda definem a necessidade.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ESCOLHA DA PORTA DE ENTRADA</w:t>
      </w:r>
    </w:p>
    <w:p>
      <w:pPr>
        <w:pStyle w:val="Heading1"/>
      </w:pPr>
      <w:r>
        <w:t>Públicos e jornadas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30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Público</w:t>
            </w:r>
          </w:p>
        </w:tc>
        <w:tc>
          <w:tcPr>
            <w:tcW w:type="dxa" w:w="2592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Quem decide</w:t>
            </w:r>
          </w:p>
        </w:tc>
        <w:tc>
          <w:tcPr>
            <w:tcW w:type="dxa" w:w="324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Sinal principal</w:t>
            </w:r>
          </w:p>
        </w:tc>
        <w:tc>
          <w:tcPr>
            <w:tcW w:type="dxa" w:w="2232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Uso recomendado</w:t>
            </w:r>
          </w:p>
        </w:tc>
      </w:tr>
      <w:tr>
        <w:tc>
          <w:tcPr>
            <w:tcW w:type="dxa" w:w="230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Famílias já encaminhadas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Responsáveis; escola e médico influenciam</w:t>
            </w:r>
          </w:p>
        </w:tc>
        <w:tc>
          <w:tcPr>
            <w:tcW w:type="dxa" w:w="324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Dificuldade escolar, desenvolvimento ou encaminhamento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Primeiro teste da rota</w:t>
            </w:r>
          </w:p>
        </w:tc>
      </w:tr>
      <w:tr>
        <w:tc>
          <w:tcPr>
            <w:tcW w:type="dxa" w:w="230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Adultos em investigação tardia</w:t>
            </w:r>
          </w:p>
        </w:tc>
        <w:tc>
          <w:tcPr>
            <w:tcW w:type="dxa" w:w="259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 próprio adulto; família pode influenciar</w:t>
            </w:r>
          </w:p>
        </w:tc>
        <w:tc>
          <w:tcPr>
            <w:tcW w:type="dxa" w:w="324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Histórico persistente sem explicação suficiente</w:t>
            </w:r>
          </w:p>
        </w:tc>
        <w:tc>
          <w:tcPr>
            <w:tcW w:type="dxa" w:w="22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Comunicação específica</w:t>
            </w:r>
          </w:p>
        </w:tc>
      </w:tr>
      <w:tr>
        <w:tc>
          <w:tcPr>
            <w:tcW w:type="dxa" w:w="230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Reavaliação indicada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Pessoa/família e profissional responsável</w:t>
            </w:r>
          </w:p>
        </w:tc>
        <w:tc>
          <w:tcPr>
            <w:tcW w:type="dxa" w:w="324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Nova questão, mudança, transição ou avaliação insuficiente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Triagem clínica, sem periodicidade</w:t>
            </w:r>
          </w:p>
        </w:tc>
      </w:tr>
      <w:tr>
        <w:tc>
          <w:tcPr>
            <w:tcW w:type="dxa" w:w="230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Pessoas idosas</w:t>
            </w:r>
          </w:p>
        </w:tc>
        <w:tc>
          <w:tcPr>
            <w:tcW w:type="dxa" w:w="259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Pessoa, família, médico e cuidador</w:t>
            </w:r>
          </w:p>
        </w:tc>
        <w:tc>
          <w:tcPr>
            <w:tcW w:type="dxa" w:w="324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Mudança cognitiva ou funcional</w:t>
            </w:r>
          </w:p>
        </w:tc>
        <w:tc>
          <w:tcPr>
            <w:tcW w:type="dxa" w:w="22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Jornada adjacente ao núcleo do modelo</w:t>
            </w:r>
          </w:p>
        </w:tc>
      </w:tr>
    </w:tbl>
    <w:p>
      <w:pPr>
        <w:spacing w:after="0"/>
      </w:pPr>
    </w:p>
    <w:p>
      <w:pPr>
        <w:pStyle w:val="Heading2"/>
      </w:pPr>
      <w:r>
        <w:t>Papéis que não devem ser confundidos</w:t>
      </w:r>
    </w:p>
    <w:p>
      <w:pPr>
        <w:pStyle w:val="ListBullet"/>
        <w:spacing w:after="60"/>
      </w:pPr>
      <w:r>
        <w:t>Usuário: quem passa pela avaliação ou cuidado.</w:t>
      </w:r>
    </w:p>
    <w:p>
      <w:pPr>
        <w:pStyle w:val="ListBullet"/>
        <w:spacing w:after="60"/>
      </w:pPr>
      <w:r>
        <w:t>Pagador: pessoa, família, plano, reembolso ou outro financiador.</w:t>
      </w:r>
    </w:p>
    <w:p>
      <w:pPr>
        <w:pStyle w:val="ListBullet"/>
        <w:spacing w:after="60"/>
      </w:pPr>
      <w:r>
        <w:t>Organizador: quem busca informação, agenda e acompanha etapas.</w:t>
      </w:r>
    </w:p>
    <w:p>
      <w:pPr>
        <w:pStyle w:val="ListBullet"/>
        <w:spacing w:after="60"/>
      </w:pPr>
      <w:r>
        <w:t>Encaminhador: profissional ou instituição que identifica a necessidade.</w:t>
      </w:r>
    </w:p>
    <w:p>
      <w:pPr>
        <w:pStyle w:val="Heading2"/>
      </w:pPr>
      <w:r>
        <w:t>Adultos subidentificados</w:t>
      </w:r>
    </w:p>
    <w:p>
      <w:r>
        <w:t>Adultos que passaram a vida sem diagnóstico, especialmente mulheres e pessoas com apresentações menos disruptivas, podem chegar após anos de dificuldades atribuídas a outras causas. A comunicação pode ajudar a reconhecer sinais e explicar o processo, mas não deve presumir diagnóstico nem transformar prevalência em indicação automática.</w:t>
      </w: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OBSERVAÇÃO PÚBLICA</w:t>
      </w:r>
    </w:p>
    <w:p>
      <w:pPr>
        <w:pStyle w:val="Heading1"/>
      </w:pPr>
      <w:r>
        <w:t>Ecossistema e concorrência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088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Prestador</w:t>
            </w:r>
          </w:p>
        </w:tc>
        <w:tc>
          <w:tcPr>
            <w:tcW w:type="dxa" w:w="432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 que comunica</w:t>
            </w:r>
          </w:p>
        </w:tc>
        <w:tc>
          <w:tcPr>
            <w:tcW w:type="dxa" w:w="3672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Lição para a clínica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NeuroCog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Equipe, idades, convênios e parcerias</w:t>
            </w:r>
          </w:p>
        </w:tc>
        <w:tc>
          <w:tcPr>
            <w:tcW w:type="dxa" w:w="367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Canais de acesso alteram quem chega.</w:t>
            </w:r>
          </w:p>
        </w:tc>
      </w:tr>
      <w:tr>
        <w:tc>
          <w:tcPr>
            <w:tcW w:type="dxa" w:w="208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Ottimizzare</w:t>
            </w:r>
          </w:p>
        </w:tc>
        <w:tc>
          <w:tcPr>
            <w:tcW w:type="dxa" w:w="432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Psicologia, neuropsicologia, psiquiatria e outras áreas</w:t>
            </w:r>
          </w:p>
        </w:tc>
        <w:tc>
          <w:tcPr>
            <w:tcW w:type="dxa" w:w="367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Integração e conveniência pesam na escolha.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Neuro Mente Plena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Autoridade pessoal, idades, formato e pagamento</w:t>
            </w:r>
          </w:p>
        </w:tc>
        <w:tc>
          <w:tcPr>
            <w:tcW w:type="dxa" w:w="367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Marca pessoal pode coexistir com jornada clara.</w:t>
            </w:r>
          </w:p>
        </w:tc>
      </w:tr>
      <w:tr>
        <w:tc>
          <w:tcPr>
            <w:tcW w:type="dxa" w:w="208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REAB</w:t>
            </w:r>
          </w:p>
        </w:tc>
        <w:tc>
          <w:tcPr>
            <w:tcW w:type="dxa" w:w="432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Avaliação e rede multidisciplinar</w:t>
            </w:r>
          </w:p>
        </w:tc>
        <w:tc>
          <w:tcPr>
            <w:tcW w:type="dxa" w:w="367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Amplitude e participação familiar já aparecem.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Dimensão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Avaliação, intervenção e encontro com responsáveis</w:t>
            </w:r>
          </w:p>
        </w:tc>
        <w:tc>
          <w:tcPr>
            <w:tcW w:type="dxa" w:w="367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 percurso pode começar pelo organizador.</w:t>
            </w:r>
          </w:p>
        </w:tc>
      </w:tr>
      <w:tr>
        <w:tc>
          <w:tcPr>
            <w:tcW w:type="dxa" w:w="208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Lorena Coelho</w:t>
            </w:r>
          </w:p>
        </w:tc>
        <w:tc>
          <w:tcPr>
            <w:tcW w:type="dxa" w:w="432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Entrevistas, testes, devolutiva e laudo</w:t>
            </w:r>
          </w:p>
        </w:tc>
        <w:tc>
          <w:tcPr>
            <w:tcW w:type="dxa" w:w="367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Processo explicado reduz incerteza.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Clínica Planalto</w:t>
            </w:r>
          </w:p>
        </w:tc>
        <w:tc>
          <w:tcPr>
            <w:tcW w:type="dxa" w:w="432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Oferta por necessidades e etapas da vida</w:t>
            </w:r>
          </w:p>
        </w:tc>
        <w:tc>
          <w:tcPr>
            <w:tcW w:type="dxa" w:w="367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Caminhos são mais claros que listas de especialidades.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7EBE7"/>
          </w:tcPr>
          <w:p>
            <w:pPr>
              <w:spacing w:after="40"/>
            </w:pPr>
            <w:r>
              <w:rPr>
                <w:b/>
                <w:color w:val="173F2C"/>
              </w:rPr>
              <w:t>Limite da comparação</w:t>
            </w:r>
          </w:p>
          <w:p>
            <w:pPr>
              <w:spacing w:after="0"/>
            </w:pPr>
            <w:r>
              <w:rPr>
                <w:sz w:val="18"/>
              </w:rPr>
              <w:t>A amostra descreve comunicação pública em setembro de 2026. Não mede qualidade, resultados, fila, ocupação ou participação de mercado.</w:t>
            </w:r>
          </w:p>
        </w:tc>
      </w:tr>
    </w:tbl>
    <w:p>
      <w:pPr>
        <w:spacing w:after="0"/>
      </w:pPr>
    </w:p>
    <w:p>
      <w:pPr>
        <w:pStyle w:val="Heading2"/>
      </w:pPr>
      <w:r>
        <w:t>Preço e tecnologia</w:t>
      </w:r>
    </w:p>
    <w:p>
      <w:r>
        <w:t>A faixa pública usada no modelo foi de R$ 1.600 a R$ 3.600. Três ofertas locais aparentemente comparáveis mostravam R$ 2.800, R$ 3.000 e R$ 3.600. Esses valores não são transações e podem ter escopos diferentes. O diretório da Nesplora indica outros prestadores em Cuiabá; realidade virtual pode compor a oferta, mas não há evidência de exclusividade local.</w:t>
      </w: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ESCOLHA EXPLICADA</w:t>
      </w:r>
    </w:p>
    <w:p>
      <w:pPr>
        <w:pStyle w:val="Heading1"/>
      </w:pPr>
      <w:r>
        <w:t>Alternativas estratégicas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448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Rota</w:t>
            </w:r>
          </w:p>
        </w:tc>
        <w:tc>
          <w:tcPr>
            <w:tcW w:type="dxa" w:w="288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Impacto</w:t>
            </w:r>
          </w:p>
        </w:tc>
        <w:tc>
          <w:tcPr>
            <w:tcW w:type="dxa" w:w="216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Risco</w:t>
            </w:r>
          </w:p>
        </w:tc>
        <w:tc>
          <w:tcPr>
            <w:tcW w:type="dxa" w:w="288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Condição para fazer sentido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Institucionalizar confiança</w:t>
            </w:r>
          </w:p>
        </w:tc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Reduz dependência e ocupa capacidade existente</w:t>
            </w:r>
          </w:p>
        </w:tc>
        <w:tc>
          <w:tcPr>
            <w:tcW w:type="dxa" w:w="216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Baixo e reversível</w:t>
            </w:r>
          </w:p>
        </w:tc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Percurso, profissional e capacidade definidos</w:t>
            </w:r>
          </w:p>
        </w:tc>
      </w:tr>
      <w:tr>
        <w:tc>
          <w:tcPr>
            <w:tcW w:type="dxa" w:w="244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Aumentar aquisição</w:t>
            </w:r>
          </w:p>
        </w:tc>
        <w:tc>
          <w:tcPr>
            <w:tcW w:type="dxa" w:w="288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Mais contatos no topo do funil</w:t>
            </w:r>
          </w:p>
        </w:tc>
        <w:tc>
          <w:tcPr>
            <w:tcW w:type="dxa" w:w="216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Médio sem economia e operação</w:t>
            </w:r>
          </w:p>
        </w:tc>
        <w:tc>
          <w:tcPr>
            <w:tcW w:type="dxa" w:w="288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Aceite, conclusão, capacidade, CAC e contribuição conhecidos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Ampliar portfólio</w:t>
            </w:r>
          </w:p>
        </w:tc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Nova fonte possível de valor</w:t>
            </w:r>
          </w:p>
        </w:tc>
        <w:tc>
          <w:tcPr>
            <w:tcW w:type="dxa" w:w="216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Alto sem demanda e responsabilidade</w:t>
            </w:r>
          </w:p>
        </w:tc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Demanda, responsável técnico e economia validados</w:t>
            </w:r>
          </w:p>
        </w:tc>
      </w:tr>
    </w:tbl>
    <w:p>
      <w:pPr>
        <w:spacing w:after="0"/>
      </w:pPr>
    </w:p>
    <w:p>
      <w:pPr>
        <w:pStyle w:val="Heading2"/>
      </w:pPr>
      <w:r>
        <w:t>Como incorporar a vontade do dono</w:t>
      </w:r>
    </w:p>
    <w:p>
      <w:r>
        <w:t>A gestão escolhe o objetivo principal, a porta de entrada preferida, o tempo disponível, o investimento e a tolerância a risco. A análise mostra as consequências. Quando vontade e evidência entrarem em conflito, a decisão deve preservar a escolha da gestão sem esconder o custo, o risco ou a condição necessária.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288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Objetivo</w:t>
            </w:r>
          </w:p>
        </w:tc>
        <w:tc>
          <w:tcPr>
            <w:tcW w:type="dxa" w:w="7488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 que medir além da conversão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Liberar tempo</w:t>
            </w:r>
          </w:p>
        </w:tc>
        <w:tc>
          <w:tcPr>
            <w:tcW w:type="dxa" w:w="74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Horas das fundadoras reduzidas menos supervisão acrescentada.</w:t>
            </w:r>
          </w:p>
        </w:tc>
      </w:tr>
      <w:tr>
        <w:tc>
          <w:tcPr>
            <w:tcW w:type="dxa" w:w="288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Aumentar resultado</w:t>
            </w:r>
          </w:p>
        </w:tc>
        <w:tc>
          <w:tcPr>
            <w:tcW w:type="dxa" w:w="748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Contribuição de casos realmente novos; redistribuição separada.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Equilibrar os dois</w:t>
            </w:r>
          </w:p>
        </w:tc>
        <w:tc>
          <w:tcPr>
            <w:tcW w:type="dxa" w:w="74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Contribuição, horas liberadas, qualidade e capacidade do ciclo.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EXECUÇÃO NO RITMO DA CLÍNICA</w:t>
      </w:r>
    </w:p>
    <w:p>
      <w:pPr>
        <w:pStyle w:val="Heading1"/>
      </w:pPr>
      <w:r>
        <w:t>Plano por dependências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144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Etapa</w:t>
            </w:r>
          </w:p>
        </w:tc>
        <w:tc>
          <w:tcPr>
            <w:tcW w:type="dxa" w:w="5328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 que fazer</w:t>
            </w:r>
          </w:p>
        </w:tc>
        <w:tc>
          <w:tcPr>
            <w:tcW w:type="dxa" w:w="360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Condição para avançar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Definir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Serviço, público, profissional, capacidade, preço, pagamento, CNPJ e responsabilidade técnica.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 caso pode iniciar e concluir sem improviso.</w:t>
            </w:r>
          </w:p>
        </w:tc>
      </w:tr>
      <w:tr>
        <w:tc>
          <w:tcPr>
            <w:tcW w:type="dxa" w:w="144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Preparar</w:t>
            </w:r>
          </w:p>
        </w:tc>
        <w:tc>
          <w:tcPr>
            <w:tcW w:type="dxa" w:w="532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Perfis, ficha do serviço, etapas, mensagem da recepção e consistência pública.</w:t>
            </w:r>
          </w:p>
        </w:tc>
        <w:tc>
          <w:tcPr>
            <w:tcW w:type="dxa" w:w="360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 recepção consegue explicar e oferecer a rota.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Observar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Oferecer a opção e registrar elegibilidade, aceite, recusa, início e conclusão.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Há observações suficientes para reconhecer padrão.</w:t>
            </w:r>
          </w:p>
        </w:tc>
      </w:tr>
      <w:tr>
        <w:tc>
          <w:tcPr>
            <w:tcW w:type="dxa" w:w="144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Interpretar</w:t>
            </w:r>
          </w:p>
        </w:tc>
        <w:tc>
          <w:tcPr>
            <w:tcW w:type="dxa" w:w="532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Separar confiança, preço, horário, prazo, adequação e economia.</w:t>
            </w:r>
          </w:p>
        </w:tc>
        <w:tc>
          <w:tcPr>
            <w:tcW w:type="dxa" w:w="360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 principal barreira e o limite operacional estão claros.</w:t>
            </w:r>
          </w:p>
        </w:tc>
      </w:tr>
      <w:tr>
        <w:tc>
          <w:tcPr>
            <w:tcW w:type="dxa" w:w="144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Decidir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Escalar, corrigir ou redesenhar conforme o comportamento observado.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 decisão está ligada a sinais e limites explícitos.</w:t>
            </w:r>
          </w:p>
        </w:tc>
      </w:tr>
    </w:tbl>
    <w:p>
      <w:pPr>
        <w:spacing w:after="0"/>
      </w:pPr>
    </w:p>
    <w:p>
      <w:pPr>
        <w:pStyle w:val="Heading2"/>
      </w:pPr>
      <w:r>
        <w:t>Ordem dos canais</w:t>
      </w:r>
    </w:p>
    <w:p>
      <w:pPr>
        <w:pStyle w:val="ListNumber"/>
        <w:spacing w:after="60"/>
      </w:pPr>
      <w:r>
        <w:t>WhatsApp e recepção.</w:t>
      </w:r>
    </w:p>
    <w:p>
      <w:pPr>
        <w:pStyle w:val="ListNumber"/>
        <w:spacing w:after="60"/>
      </w:pPr>
      <w:r>
        <w:t>Encaminhadores atuais.</w:t>
      </w:r>
    </w:p>
    <w:p>
      <w:pPr>
        <w:pStyle w:val="ListNumber"/>
        <w:spacing w:after="60"/>
      </w:pPr>
      <w:r>
        <w:t>Google Business.</w:t>
      </w:r>
    </w:p>
    <w:p>
      <w:pPr>
        <w:pStyle w:val="ListNumber"/>
        <w:spacing w:after="60"/>
      </w:pPr>
      <w:r>
        <w:t>Site institucional.</w:t>
      </w:r>
    </w:p>
    <w:p>
      <w:pPr>
        <w:pStyle w:val="ListNumber"/>
        <w:spacing w:after="60"/>
      </w:pPr>
      <w:r>
        <w:t>Instagram.</w:t>
      </w:r>
    </w:p>
    <w:p>
      <w:pPr>
        <w:pStyle w:val="ListNumber"/>
        <w:spacing w:after="60"/>
      </w:pPr>
      <w:r>
        <w:t>Busca paga após capacidade, conversão e economia estarem claras.</w:t>
      </w:r>
    </w:p>
    <w:p>
      <w:pPr>
        <w:pStyle w:val="Heading2"/>
      </w:pPr>
      <w:r>
        <w:t>Mensagem de encaminhamento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DFE8E1"/>
          </w:tcPr>
          <w:p>
            <w:pPr>
              <w:spacing w:after="40"/>
            </w:pPr>
            <w:r>
              <w:rPr>
                <w:b/>
                <w:color w:val="173F2C"/>
              </w:rPr>
              <w:t>Modelo</w:t>
            </w:r>
          </w:p>
          <w:p>
            <w:pPr>
              <w:spacing w:after="0"/>
            </w:pPr>
            <w:r>
              <w:rPr>
                <w:sz w:val="18"/>
              </w:rPr>
              <w:t>Entendi o que vocês estão buscando. Para esse caso, a profissional mais indicada da nossa equipe é [nome], que atua com [público/necessidade] e segue os critérios clínicos e a supervisão da NeuroConexxão. Ela possui horário em [opções]. Posso explicar como funciona o atendimento e verificar o melhor horário?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FERRAMENTAS GERENCIAIS</w:t>
      </w:r>
    </w:p>
    <w:p>
      <w:pPr>
        <w:pStyle w:val="Heading1"/>
      </w:pPr>
      <w:r>
        <w:t>Medição e decisão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30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Indicador</w:t>
            </w:r>
          </w:p>
        </w:tc>
        <w:tc>
          <w:tcPr>
            <w:tcW w:type="dxa" w:w="4032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Fórmula</w:t>
            </w:r>
          </w:p>
        </w:tc>
        <w:tc>
          <w:tcPr>
            <w:tcW w:type="dxa" w:w="4032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Pergunta respondida</w:t>
            </w:r>
          </w:p>
        </w:tc>
      </w:tr>
      <w:tr>
        <w:tc>
          <w:tcPr>
            <w:tcW w:type="dxa" w:w="230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Oferta aos elegíveis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equipe oferecida ÷ contatos elegíveis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 recepção aplica a rota?</w:t>
            </w:r>
          </w:p>
        </w:tc>
      </w:tr>
      <w:tr>
        <w:tc>
          <w:tcPr>
            <w:tcW w:type="dxa" w:w="230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Aceitação da equipe</w:t>
            </w:r>
          </w:p>
        </w:tc>
        <w:tc>
          <w:tcPr>
            <w:tcW w:type="dxa" w:w="40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aceites ÷ equipe oferecida</w:t>
            </w:r>
          </w:p>
        </w:tc>
        <w:tc>
          <w:tcPr>
            <w:tcW w:type="dxa" w:w="40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 confiança está sendo transferida?</w:t>
            </w:r>
          </w:p>
        </w:tc>
      </w:tr>
      <w:tr>
        <w:tc>
          <w:tcPr>
            <w:tcW w:type="dxa" w:w="230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Início após aceite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inícios ÷ aceites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Alguma barreira aparece depois da escolha?</w:t>
            </w:r>
          </w:p>
        </w:tc>
      </w:tr>
      <w:tr>
        <w:tc>
          <w:tcPr>
            <w:tcW w:type="dxa" w:w="230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Conclusão</w:t>
            </w:r>
          </w:p>
        </w:tc>
        <w:tc>
          <w:tcPr>
            <w:tcW w:type="dxa" w:w="40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conclusões ÷ inícios</w:t>
            </w:r>
          </w:p>
        </w:tc>
        <w:tc>
          <w:tcPr>
            <w:tcW w:type="dxa" w:w="40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O percurso funciona até o fim?</w:t>
            </w:r>
          </w:p>
        </w:tc>
      </w:tr>
      <w:tr>
        <w:tc>
          <w:tcPr>
            <w:tcW w:type="dxa" w:w="230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Procura nominal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pedidos pelas fundadoras ÷ contatos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Quão concentrada está a preferência?</w:t>
            </w:r>
          </w:p>
        </w:tc>
      </w:tr>
      <w:tr>
        <w:tc>
          <w:tcPr>
            <w:tcW w:type="dxa" w:w="230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CAC</w:t>
            </w:r>
          </w:p>
        </w:tc>
        <w:tc>
          <w:tcPr>
            <w:tcW w:type="dxa" w:w="40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gasto atribuível ÷ novos pacientes iniciados e pagos</w:t>
            </w:r>
          </w:p>
        </w:tc>
        <w:tc>
          <w:tcPr>
            <w:tcW w:type="dxa" w:w="4032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Quanto custa a demanda incremental?</w:t>
            </w:r>
          </w:p>
        </w:tc>
      </w:tr>
      <w:tr>
        <w:tc>
          <w:tcPr>
            <w:tcW w:type="dxa" w:w="230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Contribuição por caso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recebido menos custos variáveis</w:t>
            </w:r>
          </w:p>
        </w:tc>
        <w:tc>
          <w:tcPr>
            <w:tcW w:type="dxa" w:w="4032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Quanto cada caso acrescenta antes dos fixos?</w:t>
            </w:r>
          </w:p>
        </w:tc>
      </w:tr>
    </w:tbl>
    <w:p>
      <w:pPr>
        <w:spacing w:after="0"/>
      </w:pPr>
    </w:p>
    <w:p>
      <w:pPr>
        <w:pStyle w:val="Heading2"/>
      </w:pPr>
      <w:r>
        <w:t>Regras orientativas do painel</w:t>
      </w:r>
    </w:p>
    <w:p>
      <w:pPr>
        <w:pStyle w:val="ListBullet"/>
        <w:spacing w:after="60"/>
      </w:pPr>
      <w:r>
        <w:t>Com pelo menos 10 ofertas, aceitação de 60% ou mais e conclusão de 80% ou mais sugerem avanço controlado.</w:t>
      </w:r>
    </w:p>
    <w:p>
      <w:pPr>
        <w:pStyle w:val="ListBullet"/>
        <w:spacing w:after="60"/>
      </w:pPr>
      <w:r>
        <w:t>Aceitação abaixo de 40% sugere corrigir a principal barreira antes de ampliar divulgação.</w:t>
      </w:r>
    </w:p>
    <w:p>
      <w:pPr>
        <w:pStyle w:val="ListBullet"/>
        <w:spacing w:after="60"/>
      </w:pPr>
      <w:r>
        <w:t>Inícios acima da capacidade pedem estabilização operacional.</w:t>
      </w:r>
    </w:p>
    <w:p>
      <w:pPr>
        <w:pStyle w:val="ListBullet"/>
        <w:spacing w:after="60"/>
      </w:pPr>
      <w:r>
        <w:t>Os limites orientam; não substituem julgamento clínico nem leitura do contexto.</w:t>
      </w:r>
    </w:p>
    <w:p>
      <w:pPr>
        <w:pStyle w:val="Heading2"/>
      </w:pPr>
      <w:r>
        <w:t>Fórmulas financeiras</w:t>
      </w:r>
    </w:p>
    <w:p>
      <w:pPr>
        <w:pStyle w:val="ListBullet"/>
        <w:spacing w:after="60"/>
      </w:pPr>
      <w:r>
        <w:t>Resultado incremental = casos novos × contribuição + redistribuídos × diferença de contribuição − mídia − implementação − novos custos fixos.</w:t>
      </w:r>
    </w:p>
    <w:p>
      <w:pPr>
        <w:pStyle w:val="ListBullet"/>
        <w:spacing w:after="60"/>
      </w:pPr>
      <w:r>
        <w:t>Capacidade anual = vagas de início por mês × ocupação saudável × 12, validada pelo gargalo mais restrito.</w:t>
      </w:r>
    </w:p>
    <w:p>
      <w:pPr>
        <w:pStyle w:val="ListBullet"/>
        <w:spacing w:after="60"/>
      </w:pPr>
      <w:r>
        <w:t>Tempo liberado = horas reduzidas das fundadoras − supervisão incremental.</w:t>
      </w: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ÉTICA, PRIVACIDADE E COMUNICAÇÃO</w:t>
      </w:r>
    </w:p>
    <w:p>
      <w:pPr>
        <w:pStyle w:val="Heading1"/>
      </w:pPr>
      <w:r>
        <w:t>Cuidados de execução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2088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Tema</w:t>
            </w:r>
          </w:p>
        </w:tc>
        <w:tc>
          <w:tcPr>
            <w:tcW w:type="dxa" w:w="8280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Regra prática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Publicidade</w:t>
            </w:r>
          </w:p>
        </w:tc>
        <w:tc>
          <w:tcPr>
            <w:tcW w:type="dxa" w:w="82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Identificar profissionais e registros; evitar promessa, sensacionalismo e vantagem financeira. Depoimentos de pacientes não devem sustentar a campanha.</w:t>
            </w:r>
          </w:p>
        </w:tc>
      </w:tr>
      <w:tr>
        <w:tc>
          <w:tcPr>
            <w:tcW w:type="dxa" w:w="208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Dados de saúde</w:t>
            </w:r>
          </w:p>
        </w:tc>
        <w:tc>
          <w:tcPr>
            <w:tcW w:type="dxa" w:w="828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Separar cadastro administrativo, anamnese e prontuário. Controles gerenciais usam dados agregados; não inserir conteúdo clínico identificável.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Testes</w:t>
            </w:r>
          </w:p>
        </w:tc>
        <w:tc>
          <w:tcPr>
            <w:tcW w:type="dxa" w:w="82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Conferir instrumento, versão e forma de aplicação no SATEPSI.</w:t>
            </w:r>
          </w:p>
        </w:tc>
      </w:tr>
      <w:tr>
        <w:tc>
          <w:tcPr>
            <w:tcW w:type="dxa" w:w="208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Convênios</w:t>
            </w:r>
          </w:p>
        </w:tc>
        <w:tc>
          <w:tcPr>
            <w:tcW w:type="dxa" w:w="8280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Não prometer cobertura ou reembolso; cada contrato define as condições.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Parcerias</w:t>
            </w:r>
          </w:p>
        </w:tc>
        <w:tc>
          <w:tcPr>
            <w:tcW w:type="dxa" w:w="8280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Apoiar cuidado e informação; não usar comissão ou prolongamento desnecessário.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7EBE7"/>
          </w:tcPr>
          <w:p>
            <w:pPr>
              <w:spacing w:after="40"/>
            </w:pPr>
            <w:r>
              <w:rPr>
                <w:b/>
                <w:color w:val="173F2C"/>
              </w:rPr>
              <w:t>Privacidade no registro</w:t>
            </w:r>
          </w:p>
          <w:p>
            <w:pPr>
              <w:spacing w:after="0"/>
            </w:pPr>
            <w:r>
              <w:rPr>
                <w:sz w:val="18"/>
              </w:rPr>
              <w:t>Use identificador aleatório, data, cidade ou CEP parcial, faixa etária, origem, pagador, resultado e motivo de perda. Não use nome, telefone, laudo, hipótese diagnóstica ou narrativa clínica.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LIMITES E VALIDAÇÃO</w:t>
      </w:r>
    </w:p>
    <w:p>
      <w:pPr>
        <w:pStyle w:val="Heading1"/>
      </w:pPr>
      <w:r>
        <w:t>Lacunas que ainda importam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448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Lacuna</w:t>
            </w:r>
          </w:p>
        </w:tc>
        <w:tc>
          <w:tcPr>
            <w:tcW w:type="dxa" w:w="3456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Como aproximar agora</w:t>
            </w:r>
          </w:p>
        </w:tc>
        <w:tc>
          <w:tcPr>
            <w:tcW w:type="dxa" w:w="4464"/>
            <w:vAlign w:val="center"/>
            <w:shd w:fill="173F2C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Como substituir por evidência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Mercado pagante por público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Planos, renda e preços públicos como proxies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Pagador, preço realizado e início por contato</w:t>
            </w:r>
          </w:p>
        </w:tc>
      </w:tr>
      <w:tr>
        <w:tc>
          <w:tcPr>
            <w:tcW w:type="dxa" w:w="244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Subdiagnóstico local</w:t>
            </w:r>
          </w:p>
        </w:tc>
        <w:tc>
          <w:tcPr>
            <w:tcW w:type="dxa" w:w="345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Faixas epidemiológicas ajustadas à idade</w:t>
            </w:r>
          </w:p>
        </w:tc>
        <w:tc>
          <w:tcPr>
            <w:tcW w:type="dxa" w:w="446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Procura qualificada e motivo por público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Capacidade concorrente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Presença e oferta públicas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Consulta estruturada de disponibilidade e encaminhadores</w:t>
            </w:r>
          </w:p>
        </w:tc>
      </w:tr>
      <w:tr>
        <w:tc>
          <w:tcPr>
            <w:tcW w:type="dxa" w:w="244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Busca e mídia</w:t>
            </w:r>
          </w:p>
        </w:tc>
        <w:tc>
          <w:tcPr>
            <w:tcW w:type="dxa" w:w="345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Sem estimativa apresentada</w:t>
            </w:r>
          </w:p>
        </w:tc>
        <w:tc>
          <w:tcPr>
            <w:tcW w:type="dxa" w:w="446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Planejador de palavras-chave e teste controlado após prontidão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Margem e mix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Cenários de preço público</w:t>
            </w:r>
          </w:p>
        </w:tc>
        <w:tc>
          <w:tcPr>
            <w:tcW w:type="dxa" w:w="44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Preço recebido, repasse, impostos, materiais e supervisão</w:t>
            </w:r>
          </w:p>
        </w:tc>
      </w:tr>
      <w:tr>
        <w:tc>
          <w:tcPr>
            <w:tcW w:type="dxa" w:w="2448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19"/>
                <w:sz w:val="16"/>
              </w:rPr>
              <w:t>Demais serviços</w:t>
            </w:r>
          </w:p>
        </w:tc>
        <w:tc>
          <w:tcPr>
            <w:tcW w:type="dxa" w:w="3456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Fora do modelo aprofundado</w:t>
            </w:r>
          </w:p>
        </w:tc>
        <w:tc>
          <w:tcPr>
            <w:tcW w:type="dxa" w:w="4464"/>
            <w:vAlign w:val="center"/>
            <w:shd w:fill="F3F6F3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19"/>
                <w:sz w:val="16"/>
              </w:rPr>
              <w:t>Dimensionamento específico de psiquiatria, psicoterapia e reabilitação</w:t>
            </w:r>
          </w:p>
        </w:tc>
      </w:tr>
    </w:tbl>
    <w:p>
      <w:pPr>
        <w:spacing w:after="0"/>
      </w:pPr>
    </w:p>
    <w:p>
      <w:r>
        <w:t>A clínica não precisa reconstruir um histórico de 90 dias para começar. Ela precisa registrar prospectivamente, no ritmo da operação, até que haja evidência suficiente para reconhecer padrões e substituir as premissas que mais alteram a decisão.</w:t>
      </w:r>
    </w:p>
    <w:p>
      <w:r>
        <w:br w:type="page"/>
      </w:r>
    </w:p>
    <w:p>
      <w:pPr>
        <w:spacing w:before="80" w:after="80"/>
      </w:pPr>
      <w:r>
        <w:rPr>
          <w:b/>
          <w:color w:val="C97961"/>
          <w:sz w:val="15"/>
        </w:rPr>
        <w:t>BASE DE EVIDÊNCIAS</w:t>
      </w:r>
    </w:p>
    <w:p>
      <w:pPr>
        <w:pStyle w:val="Heading1"/>
      </w:pPr>
      <w:r>
        <w:t>Fontes principais</w:t>
      </w:r>
    </w:p>
    <w:p>
      <w:pPr>
        <w:pStyle w:val="ListBullet"/>
        <w:spacing w:after="80"/>
      </w:pPr>
      <w:r>
        <w:rPr>
          <w:b/>
        </w:rPr>
        <w:t>IBGE — Estimativas da População 2026</w:t>
      </w:r>
      <w:r>
        <w:rPr>
          <w:color w:val="42614F"/>
        </w:rPr>
        <w:br/>
        <w:t>https://ftp.ibge.gov.br/Estimativas_de_Populacao/Estimativas_2026/estimativa_dou_2026.pdf</w:t>
      </w:r>
    </w:p>
    <w:p>
      <w:pPr>
        <w:pStyle w:val="ListBullet"/>
        <w:spacing w:after="80"/>
      </w:pPr>
      <w:r>
        <w:rPr>
          <w:b/>
        </w:rPr>
        <w:t>IBGE/SIDRA — Censo 2022, tabela 9514</w:t>
      </w:r>
      <w:r>
        <w:rPr>
          <w:color w:val="42614F"/>
        </w:rPr>
        <w:br/>
        <w:t>https://apisidra.ibge.gov.br/values/t/9514/n6/5103403,5108402/v/93/p/2022/c2/6794/c287/all/c286/113635?formato=json</w:t>
      </w:r>
    </w:p>
    <w:p>
      <w:pPr>
        <w:pStyle w:val="ListBullet"/>
        <w:spacing w:after="80"/>
      </w:pPr>
      <w:r>
        <w:rPr>
          <w:b/>
        </w:rPr>
        <w:t>ANS — Dados e indicadores do setor</w:t>
      </w:r>
      <w:r>
        <w:rPr>
          <w:color w:val="42614F"/>
        </w:rPr>
        <w:br/>
        <w:t>https://www.gov.br/ans/pt-br/acesso-a-informacao/perfil-do-setor/dados-e-indicadores-do-setor</w:t>
      </w:r>
    </w:p>
    <w:p>
      <w:pPr>
        <w:pStyle w:val="ListBullet"/>
        <w:spacing w:after="80"/>
      </w:pPr>
      <w:r>
        <w:rPr>
          <w:b/>
        </w:rPr>
        <w:t>DATASUS — Produção ambulatorial SIA/SUS</w:t>
      </w:r>
      <w:r>
        <w:rPr>
          <w:color w:val="42614F"/>
        </w:rPr>
        <w:br/>
        <w:t>https://datasus.saude.gov.br/acesso-a-informacao/producao-ambulatorial-sia-sus/</w:t>
      </w:r>
    </w:p>
    <w:p>
      <w:pPr>
        <w:pStyle w:val="ListBullet"/>
        <w:spacing w:after="80"/>
      </w:pPr>
      <w:r>
        <w:rPr>
          <w:b/>
        </w:rPr>
        <w:t>Polanczyk et al. — prevalência de TDAH</w:t>
      </w:r>
      <w:r>
        <w:rPr>
          <w:color w:val="42614F"/>
        </w:rPr>
        <w:br/>
        <w:t>https://pubmed.ncbi.nlm.nih.gov/17541055/</w:t>
      </w:r>
    </w:p>
    <w:p>
      <w:pPr>
        <w:pStyle w:val="ListBullet"/>
        <w:spacing w:after="80"/>
      </w:pPr>
      <w:r>
        <w:rPr>
          <w:b/>
        </w:rPr>
        <w:t>Song et al. — TDAH persistente em adultos</w:t>
      </w:r>
      <w:r>
        <w:rPr>
          <w:color w:val="42614F"/>
        </w:rPr>
        <w:br/>
        <w:t>https://jogh.org/documents/2021/jogh-11-04009.pdf</w:t>
      </w:r>
    </w:p>
    <w:p>
      <w:pPr>
        <w:pStyle w:val="ListBullet"/>
        <w:spacing w:after="80"/>
      </w:pPr>
      <w:r>
        <w:rPr>
          <w:b/>
        </w:rPr>
        <w:t>Maulik et al. — deficiência intelectual</w:t>
      </w:r>
      <w:r>
        <w:rPr>
          <w:color w:val="42614F"/>
        </w:rPr>
        <w:br/>
        <w:t>https://pubmed.ncbi.nlm.nih.gov/22029913/</w:t>
      </w:r>
    </w:p>
    <w:p>
      <w:pPr>
        <w:pStyle w:val="ListBullet"/>
        <w:spacing w:after="80"/>
      </w:pPr>
      <w:r>
        <w:rPr>
          <w:b/>
        </w:rPr>
        <w:t>Lai et al. — condições associadas ao autismo</w:t>
      </w:r>
      <w:r>
        <w:rPr>
          <w:color w:val="42614F"/>
        </w:rPr>
        <w:br/>
        <w:t>https://pubmed.ncbi.nlm.nih.gov/31170424/</w:t>
      </w:r>
    </w:p>
    <w:p>
      <w:pPr>
        <w:pStyle w:val="ListBullet"/>
        <w:spacing w:after="80"/>
      </w:pPr>
      <w:r>
        <w:rPr>
          <w:b/>
        </w:rPr>
        <w:t>CFP — Resolução 06/2019 comentada</w:t>
      </w:r>
      <w:r>
        <w:rPr>
          <w:color w:val="42614F"/>
        </w:rPr>
        <w:br/>
        <w:t>https://site.cfp.org.br/wp-content/uploads/2019/09/Resolu%C3%A7%C3%A3o-CFP-n-06-2019-comentada.pdf</w:t>
      </w:r>
    </w:p>
    <w:p>
      <w:pPr>
        <w:pStyle w:val="ListBullet"/>
        <w:spacing w:after="80"/>
      </w:pPr>
      <w:r>
        <w:rPr>
          <w:b/>
        </w:rPr>
        <w:t>CFP — Nota Técnica 01/2022 sobre publicidade</w:t>
      </w:r>
      <w:r>
        <w:rPr>
          <w:color w:val="42614F"/>
        </w:rPr>
        <w:br/>
        <w:t>https://site.cfp.org.br/wp-content/uploads/2022/06/SEI_CFP-0612475-Nota-Tecnica.pdf</w:t>
      </w:r>
    </w:p>
    <w:p>
      <w:pPr>
        <w:pStyle w:val="ListBullet"/>
        <w:spacing w:after="80"/>
      </w:pPr>
      <w:r>
        <w:rPr>
          <w:b/>
        </w:rPr>
        <w:t>ANPD — Guia de segurança para pequeno porte</w:t>
      </w:r>
      <w:r>
        <w:rPr>
          <w:color w:val="42614F"/>
        </w:rPr>
        <w:br/>
        <w:t>https://www.gov.br/anpd/pt-br/centrais-de-conteudo/materiais-educativos-e-publicacoes/guia-vf.pdf/@@display-file/file</w:t>
      </w:r>
    </w:p>
    <w:p>
      <w:pPr>
        <w:pStyle w:val="ListBullet"/>
        <w:spacing w:after="80"/>
      </w:pPr>
      <w:r>
        <w:rPr>
          <w:b/>
        </w:rPr>
        <w:t>Doctoralia — preços públicos em Cuiabá</w:t>
      </w:r>
      <w:r>
        <w:rPr>
          <w:color w:val="42614F"/>
        </w:rPr>
        <w:br/>
        <w:t>https://www.doctoralia.com.br/servicos-de-tratamento/avaliacao-neuropsicologica/cuiaba</w:t>
      </w:r>
    </w:p>
    <w:p>
      <w:pPr>
        <w:pStyle w:val="ListBullet"/>
        <w:spacing w:after="80"/>
      </w:pPr>
      <w:r>
        <w:rPr>
          <w:b/>
        </w:rPr>
        <w:t>SATEPSI</w:t>
      </w:r>
      <w:r>
        <w:rPr>
          <w:color w:val="42614F"/>
        </w:rPr>
        <w:br/>
        <w:t>https://satepsi.cfp.org.br/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DFE8E1"/>
          </w:tcPr>
          <w:p>
            <w:pPr>
              <w:spacing w:after="40"/>
            </w:pPr>
            <w:r>
              <w:rPr>
                <w:b/>
                <w:color w:val="173F2C"/>
              </w:rPr>
              <w:t>Corte da pesquisa</w:t>
            </w:r>
          </w:p>
          <w:p>
            <w:pPr>
              <w:spacing w:after="0"/>
            </w:pPr>
            <w:r>
              <w:rPr>
                <w:sz w:val="18"/>
              </w:rPr>
              <w:t>Fontes públicas observadas até 8 de setembro de 2026. Informações internas foram fornecidas pela gestão e aparecem identificadas como relato.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42614F"/>
        <w:sz w:val="14"/>
      </w:rPr>
      <w:t>CLÍNICA NEUROCONEXXÃO  ·  DIAGNÓSTICO EMPRESARIAL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4211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F2C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2119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261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73F2C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Diagnóstico empresarial completo — Clínica NeuroConexxão</dc:title>
  <dc:subject>Mercado relevante, decisão, plano e evidências</dc:subject>
  <dc:creator>Clínica NeuroConexxão</dc:creator>
  <cp:keywords>diagnóstico empresarial, neuropsicologia, mercado, estratégia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